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77D" w:rsidRPr="00727111" w:rsidRDefault="00F76A18" w:rsidP="006D7F46">
      <w:pPr>
        <w:spacing w:line="480" w:lineRule="auto"/>
        <w:jc w:val="both"/>
        <w:rPr>
          <w:rFonts w:ascii="Times New Roman" w:hAnsi="Times New Roman" w:cs="Times New Roman"/>
          <w:sz w:val="24"/>
          <w:szCs w:val="24"/>
        </w:rPr>
      </w:pPr>
      <w:r w:rsidRPr="00727111">
        <w:rPr>
          <w:rFonts w:ascii="Times New Roman" w:hAnsi="Times New Roman" w:cs="Times New Roman"/>
          <w:sz w:val="24"/>
          <w:szCs w:val="24"/>
        </w:rPr>
        <w:t>Name</w:t>
      </w:r>
    </w:p>
    <w:p w:rsidR="00E17C13" w:rsidRPr="00727111" w:rsidRDefault="00FB01A3" w:rsidP="006D7F46">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bookmarkStart w:id="0" w:name="_GoBack"/>
      <w:bookmarkEnd w:id="0"/>
      <w:r>
        <w:rPr>
          <w:rFonts w:ascii="Times New Roman" w:hAnsi="Times New Roman" w:cs="Times New Roman"/>
          <w:sz w:val="24"/>
          <w:szCs w:val="24"/>
        </w:rPr>
        <w:t xml:space="preserve"> </w:t>
      </w:r>
    </w:p>
    <w:p w:rsidR="000F077D" w:rsidRPr="00727111" w:rsidRDefault="00F76A18" w:rsidP="006D7F46">
      <w:pPr>
        <w:spacing w:line="480" w:lineRule="auto"/>
        <w:jc w:val="both"/>
        <w:rPr>
          <w:rFonts w:ascii="Times New Roman" w:hAnsi="Times New Roman" w:cs="Times New Roman"/>
          <w:sz w:val="24"/>
          <w:szCs w:val="24"/>
        </w:rPr>
      </w:pPr>
      <w:r w:rsidRPr="00727111">
        <w:rPr>
          <w:rFonts w:ascii="Times New Roman" w:hAnsi="Times New Roman" w:cs="Times New Roman"/>
          <w:sz w:val="24"/>
          <w:szCs w:val="24"/>
        </w:rPr>
        <w:t>Date</w:t>
      </w:r>
    </w:p>
    <w:p w:rsidR="006D7F46" w:rsidRPr="00727111" w:rsidRDefault="00F76A18" w:rsidP="00EF445F">
      <w:pPr>
        <w:spacing w:line="480" w:lineRule="auto"/>
        <w:jc w:val="center"/>
        <w:rPr>
          <w:rFonts w:ascii="Times New Roman" w:hAnsi="Times New Roman" w:cs="Times New Roman"/>
          <w:sz w:val="24"/>
          <w:szCs w:val="24"/>
        </w:rPr>
      </w:pPr>
      <w:r w:rsidRPr="00727111">
        <w:rPr>
          <w:rFonts w:ascii="Times New Roman" w:hAnsi="Times New Roman" w:cs="Times New Roman"/>
          <w:b/>
          <w:sz w:val="24"/>
          <w:szCs w:val="24"/>
        </w:rPr>
        <w:t xml:space="preserve">Travelers Indem. Co. v. </w:t>
      </w:r>
      <w:r w:rsidR="00FB36B5">
        <w:rPr>
          <w:rFonts w:ascii="Times New Roman" w:hAnsi="Times New Roman" w:cs="Times New Roman"/>
          <w:b/>
          <w:sz w:val="24"/>
          <w:szCs w:val="24"/>
        </w:rPr>
        <w:t>Maho</w:t>
      </w:r>
      <w:r w:rsidRPr="00727111">
        <w:rPr>
          <w:rFonts w:ascii="Times New Roman" w:hAnsi="Times New Roman" w:cs="Times New Roman"/>
          <w:b/>
          <w:sz w:val="24"/>
          <w:szCs w:val="24"/>
        </w:rPr>
        <w:t xml:space="preserve"> M</w:t>
      </w:r>
      <w:r w:rsidR="00A47F62" w:rsidRPr="00727111">
        <w:rPr>
          <w:rFonts w:ascii="Times New Roman" w:hAnsi="Times New Roman" w:cs="Times New Roman"/>
          <w:b/>
          <w:sz w:val="24"/>
          <w:szCs w:val="24"/>
        </w:rPr>
        <w:t>achine Tool Corp</w:t>
      </w:r>
      <w:r w:rsidR="00A47F62" w:rsidRPr="00727111">
        <w:rPr>
          <w:rFonts w:ascii="Times New Roman" w:hAnsi="Times New Roman" w:cs="Times New Roman"/>
          <w:sz w:val="24"/>
          <w:szCs w:val="24"/>
        </w:rPr>
        <w:t>.</w:t>
      </w:r>
    </w:p>
    <w:p w:rsidR="000E6295" w:rsidRPr="00727111" w:rsidRDefault="00F76A18" w:rsidP="00CF48F1">
      <w:pPr>
        <w:spacing w:line="480" w:lineRule="auto"/>
        <w:ind w:firstLine="720"/>
        <w:jc w:val="both"/>
        <w:rPr>
          <w:rFonts w:ascii="Times New Roman" w:hAnsi="Times New Roman" w:cs="Times New Roman"/>
          <w:sz w:val="24"/>
          <w:szCs w:val="24"/>
        </w:rPr>
      </w:pPr>
      <w:r w:rsidRPr="00727111">
        <w:rPr>
          <w:rFonts w:ascii="Times New Roman" w:hAnsi="Times New Roman" w:cs="Times New Roman"/>
          <w:sz w:val="24"/>
          <w:szCs w:val="24"/>
        </w:rPr>
        <w:t xml:space="preserve">The facts presented for this case indicated that </w:t>
      </w:r>
      <w:r w:rsidR="00FB36B5">
        <w:rPr>
          <w:rFonts w:ascii="Times New Roman" w:hAnsi="Times New Roman" w:cs="Times New Roman"/>
          <w:sz w:val="24"/>
          <w:szCs w:val="24"/>
        </w:rPr>
        <w:t>Maho</w:t>
      </w:r>
      <w:r w:rsidRPr="00727111">
        <w:rPr>
          <w:rFonts w:ascii="Times New Roman" w:hAnsi="Times New Roman" w:cs="Times New Roman"/>
          <w:sz w:val="24"/>
          <w:szCs w:val="24"/>
        </w:rPr>
        <w:t xml:space="preserve">, the defendant, is an American division of a German manufacturer of precision industrial milling and boring machinery. </w:t>
      </w:r>
      <w:r w:rsidR="00FB36B5">
        <w:rPr>
          <w:rFonts w:ascii="Times New Roman" w:hAnsi="Times New Roman" w:cs="Times New Roman"/>
          <w:sz w:val="24"/>
          <w:szCs w:val="24"/>
        </w:rPr>
        <w:t>Maho</w:t>
      </w:r>
      <w:r w:rsidRPr="00727111">
        <w:rPr>
          <w:rFonts w:ascii="Times New Roman" w:hAnsi="Times New Roman" w:cs="Times New Roman"/>
          <w:sz w:val="24"/>
          <w:szCs w:val="24"/>
        </w:rPr>
        <w:t xml:space="preserve"> procured to sell Windward a </w:t>
      </w:r>
      <w:r w:rsidR="00FB36B5">
        <w:rPr>
          <w:rFonts w:ascii="Times New Roman" w:hAnsi="Times New Roman" w:cs="Times New Roman"/>
          <w:sz w:val="24"/>
          <w:szCs w:val="24"/>
        </w:rPr>
        <w:t>Maho</w:t>
      </w:r>
      <w:r w:rsidRPr="00727111">
        <w:rPr>
          <w:rFonts w:ascii="Times New Roman" w:hAnsi="Times New Roman" w:cs="Times New Roman"/>
          <w:sz w:val="24"/>
          <w:szCs w:val="24"/>
        </w:rPr>
        <w:t xml:space="preserve"> 700s machine that Windward required for a task in Singapore. Windward agreed to pay $263,573 to sett</w:t>
      </w:r>
      <w:r w:rsidR="00624718">
        <w:rPr>
          <w:rFonts w:ascii="Times New Roman" w:hAnsi="Times New Roman" w:cs="Times New Roman"/>
          <w:sz w:val="24"/>
          <w:szCs w:val="24"/>
        </w:rPr>
        <w:t>le the case. Free on Board</w:t>
      </w:r>
      <w:r w:rsidRPr="00727111">
        <w:rPr>
          <w:rFonts w:ascii="Times New Roman" w:hAnsi="Times New Roman" w:cs="Times New Roman"/>
          <w:sz w:val="24"/>
          <w:szCs w:val="24"/>
        </w:rPr>
        <w:t xml:space="preserve"> Los Angeles was the destination for the machine. Windward was covered against the danger of damage to the equipment under cargo coverage by Travelers to cover the fright risks. In the case of real or creative complete loss, an endorsement stipulated that Travelers would cover 125 percent of Windward's purchase and shipping costs. </w:t>
      </w:r>
    </w:p>
    <w:p w:rsidR="00F332A0" w:rsidRDefault="00F76A18" w:rsidP="006D7F46">
      <w:pPr>
        <w:spacing w:line="480" w:lineRule="auto"/>
        <w:ind w:firstLine="720"/>
        <w:jc w:val="both"/>
        <w:rPr>
          <w:rFonts w:ascii="Times New Roman" w:hAnsi="Times New Roman" w:cs="Times New Roman"/>
          <w:sz w:val="24"/>
          <w:szCs w:val="24"/>
        </w:rPr>
      </w:pPr>
      <w:r w:rsidRPr="00727111">
        <w:rPr>
          <w:rFonts w:ascii="Times New Roman" w:hAnsi="Times New Roman" w:cs="Times New Roman"/>
          <w:sz w:val="24"/>
          <w:szCs w:val="24"/>
        </w:rPr>
        <w:t>When the equipment arrived in Singapor</w:t>
      </w:r>
      <w:r w:rsidR="00D738F5" w:rsidRPr="00727111">
        <w:rPr>
          <w:rFonts w:ascii="Times New Roman" w:hAnsi="Times New Roman" w:cs="Times New Roman"/>
          <w:sz w:val="24"/>
          <w:szCs w:val="24"/>
        </w:rPr>
        <w:t>e, it was in a state of rust</w:t>
      </w:r>
      <w:r w:rsidRPr="00727111">
        <w:rPr>
          <w:rFonts w:ascii="Times New Roman" w:hAnsi="Times New Roman" w:cs="Times New Roman"/>
          <w:sz w:val="24"/>
          <w:szCs w:val="24"/>
        </w:rPr>
        <w:t>. The typical airtight plastic bag was ripped open, there were no moisture-absorbing bags within the box, water seeped out as the crate was being opened, and the machine's blank components were not lubricated. Because the machine could not work in Singapore, Windward asked that it be returned to Germany to be repaired. Because of the damag</w:t>
      </w:r>
      <w:r w:rsidR="00FB36B5">
        <w:rPr>
          <w:rFonts w:ascii="Times New Roman" w:hAnsi="Times New Roman" w:cs="Times New Roman"/>
          <w:sz w:val="24"/>
          <w:szCs w:val="24"/>
        </w:rPr>
        <w:t>e caused by poor packaging, Maho</w:t>
      </w:r>
      <w:r w:rsidRPr="00727111">
        <w:rPr>
          <w:rFonts w:ascii="Times New Roman" w:hAnsi="Times New Roman" w:cs="Times New Roman"/>
          <w:sz w:val="24"/>
          <w:szCs w:val="24"/>
        </w:rPr>
        <w:t xml:space="preserve"> expects Windward to submit an insurance claim with its carrier. Windward received payment from travelers for the cost of the 700s machine, plus a 25% increase required by the insurance endorsement. As Windward's subrogee, Travelers filed an appeal suit to collect the $ 271,904 it had incurred, and the matter was thus limited to a claim.</w:t>
      </w:r>
    </w:p>
    <w:p w:rsidR="002C052A" w:rsidRPr="00727111" w:rsidRDefault="00F76A18" w:rsidP="006D7F46">
      <w:pPr>
        <w:spacing w:line="480" w:lineRule="auto"/>
        <w:jc w:val="center"/>
        <w:rPr>
          <w:rFonts w:ascii="Times New Roman" w:hAnsi="Times New Roman" w:cs="Times New Roman"/>
          <w:b/>
          <w:sz w:val="24"/>
          <w:szCs w:val="24"/>
        </w:rPr>
      </w:pPr>
      <w:r w:rsidRPr="00727111">
        <w:rPr>
          <w:rFonts w:ascii="Times New Roman" w:hAnsi="Times New Roman" w:cs="Times New Roman"/>
          <w:b/>
          <w:sz w:val="24"/>
          <w:szCs w:val="24"/>
        </w:rPr>
        <w:t>Issue</w:t>
      </w:r>
    </w:p>
    <w:p w:rsidR="005C526E" w:rsidRPr="00727111" w:rsidRDefault="00F76A18" w:rsidP="006D7F46">
      <w:pPr>
        <w:spacing w:line="480" w:lineRule="auto"/>
        <w:ind w:firstLine="720"/>
        <w:jc w:val="both"/>
        <w:rPr>
          <w:rFonts w:ascii="Times New Roman" w:hAnsi="Times New Roman" w:cs="Times New Roman"/>
          <w:sz w:val="24"/>
          <w:szCs w:val="24"/>
        </w:rPr>
      </w:pPr>
      <w:r w:rsidRPr="00727111">
        <w:rPr>
          <w:rFonts w:ascii="Times New Roman" w:hAnsi="Times New Roman" w:cs="Times New Roman"/>
          <w:sz w:val="24"/>
          <w:szCs w:val="24"/>
        </w:rPr>
        <w:lastRenderedPageBreak/>
        <w:t xml:space="preserve">The court had to assess if Travelers' payout was legitimate and whether </w:t>
      </w:r>
      <w:r w:rsidR="00D569B1">
        <w:rPr>
          <w:rFonts w:ascii="Times New Roman" w:hAnsi="Times New Roman" w:cs="Times New Roman"/>
          <w:sz w:val="24"/>
          <w:szCs w:val="24"/>
        </w:rPr>
        <w:t>Maho</w:t>
      </w:r>
      <w:r w:rsidRPr="00727111">
        <w:rPr>
          <w:rFonts w:ascii="Times New Roman" w:hAnsi="Times New Roman" w:cs="Times New Roman"/>
          <w:sz w:val="24"/>
          <w:szCs w:val="24"/>
        </w:rPr>
        <w:t>'s first court claims were supported by enough legal proof under the selling contract. When the equipment acquired came in non-conforming condition, the plaintiff's insurance challenged the denial of its claim for damages against the defendant vendor</w:t>
      </w:r>
      <w:r w:rsidR="00424B9D" w:rsidRPr="00727111">
        <w:rPr>
          <w:rFonts w:ascii="Times New Roman" w:hAnsi="Times New Roman" w:cs="Times New Roman"/>
          <w:sz w:val="24"/>
          <w:szCs w:val="24"/>
        </w:rPr>
        <w:t xml:space="preserve"> (</w:t>
      </w:r>
      <w:r w:rsidR="0022710B" w:rsidRPr="00727111">
        <w:rPr>
          <w:rFonts w:ascii="Times New Roman" w:hAnsi="Times New Roman" w:cs="Times New Roman"/>
          <w:i/>
          <w:iCs/>
          <w:color w:val="222222"/>
          <w:sz w:val="24"/>
          <w:szCs w:val="24"/>
          <w:shd w:val="clear" w:color="auto" w:fill="FFFFFF"/>
        </w:rPr>
        <w:t xml:space="preserve">Travelers Indem. Co. v. </w:t>
      </w:r>
      <w:r w:rsidR="0022710B">
        <w:rPr>
          <w:rFonts w:ascii="Times New Roman" w:hAnsi="Times New Roman" w:cs="Times New Roman"/>
          <w:i/>
          <w:iCs/>
          <w:color w:val="222222"/>
          <w:sz w:val="24"/>
          <w:szCs w:val="24"/>
          <w:shd w:val="clear" w:color="auto" w:fill="FFFFFF"/>
        </w:rPr>
        <w:t>Maho</w:t>
      </w:r>
      <w:r w:rsidR="0022710B" w:rsidRPr="00727111">
        <w:rPr>
          <w:rFonts w:ascii="Times New Roman" w:hAnsi="Times New Roman" w:cs="Times New Roman"/>
          <w:i/>
          <w:iCs/>
          <w:color w:val="222222"/>
          <w:sz w:val="24"/>
          <w:szCs w:val="24"/>
          <w:shd w:val="clear" w:color="auto" w:fill="FFFFFF"/>
        </w:rPr>
        <w:t xml:space="preserve"> Mach</w:t>
      </w:r>
      <w:r w:rsidR="0022710B">
        <w:rPr>
          <w:rFonts w:ascii="Times New Roman" w:hAnsi="Times New Roman" w:cs="Times New Roman"/>
          <w:sz w:val="24"/>
          <w:szCs w:val="24"/>
          <w:shd w:val="clear" w:color="auto" w:fill="FFFFFF"/>
        </w:rPr>
        <w:t xml:space="preserve">, </w:t>
      </w:r>
      <w:r w:rsidR="00A65FAC">
        <w:rPr>
          <w:rFonts w:ascii="Times New Roman" w:hAnsi="Times New Roman" w:cs="Times New Roman"/>
          <w:sz w:val="24"/>
          <w:szCs w:val="24"/>
          <w:shd w:val="clear" w:color="auto" w:fill="FFFFFF"/>
        </w:rPr>
        <w:t>3</w:t>
      </w:r>
      <w:r w:rsidR="00424B9D" w:rsidRPr="00727111">
        <w:rPr>
          <w:rFonts w:ascii="Times New Roman" w:hAnsi="Times New Roman" w:cs="Times New Roman"/>
          <w:sz w:val="24"/>
          <w:szCs w:val="24"/>
        </w:rPr>
        <w:t>)</w:t>
      </w:r>
      <w:r w:rsidRPr="00727111">
        <w:rPr>
          <w:rFonts w:ascii="Times New Roman" w:hAnsi="Times New Roman" w:cs="Times New Roman"/>
          <w:sz w:val="24"/>
          <w:szCs w:val="24"/>
        </w:rPr>
        <w:t>. According to the defendant, the plaintiff could not collect what it paid the insured buyer because the buyer rejected its proposed remedy and refusal to minimize damages. The appeal court overturned the trial court's judgment, saying that it is the seller's responsibility to cure non-conforming items because the buyer has no legal obligation. Furthermore, the first verdict was overturned since the seller had no constitutional rights stemming from the buyer's insurance coverage</w:t>
      </w:r>
      <w:r w:rsidR="006D7F46" w:rsidRPr="00727111">
        <w:rPr>
          <w:rFonts w:ascii="Times New Roman" w:hAnsi="Times New Roman" w:cs="Times New Roman"/>
          <w:sz w:val="24"/>
          <w:szCs w:val="24"/>
        </w:rPr>
        <w:t>.</w:t>
      </w:r>
    </w:p>
    <w:p w:rsidR="00417F0C" w:rsidRPr="00727111" w:rsidRDefault="00F76A18" w:rsidP="006D7F46">
      <w:pPr>
        <w:spacing w:line="480" w:lineRule="auto"/>
        <w:jc w:val="center"/>
        <w:rPr>
          <w:rFonts w:ascii="Times New Roman" w:hAnsi="Times New Roman" w:cs="Times New Roman"/>
          <w:b/>
          <w:bCs/>
          <w:sz w:val="24"/>
          <w:szCs w:val="24"/>
        </w:rPr>
      </w:pPr>
      <w:r w:rsidRPr="00727111">
        <w:rPr>
          <w:rFonts w:ascii="Times New Roman" w:hAnsi="Times New Roman" w:cs="Times New Roman"/>
          <w:b/>
          <w:bCs/>
          <w:sz w:val="24"/>
          <w:szCs w:val="24"/>
        </w:rPr>
        <w:t>Opinion-Based A</w:t>
      </w:r>
      <w:r w:rsidR="00FB3029" w:rsidRPr="00727111">
        <w:rPr>
          <w:rFonts w:ascii="Times New Roman" w:hAnsi="Times New Roman" w:cs="Times New Roman"/>
          <w:b/>
          <w:bCs/>
          <w:sz w:val="24"/>
          <w:szCs w:val="24"/>
        </w:rPr>
        <w:t>rguments</w:t>
      </w:r>
    </w:p>
    <w:p w:rsidR="00A734A8" w:rsidRPr="00727111" w:rsidRDefault="00F76A18" w:rsidP="006D7F46">
      <w:pPr>
        <w:spacing w:line="480" w:lineRule="auto"/>
        <w:ind w:firstLine="720"/>
        <w:jc w:val="both"/>
        <w:rPr>
          <w:rFonts w:ascii="Times New Roman" w:hAnsi="Times New Roman" w:cs="Times New Roman"/>
          <w:sz w:val="24"/>
          <w:szCs w:val="24"/>
        </w:rPr>
      </w:pPr>
      <w:r w:rsidRPr="00727111">
        <w:rPr>
          <w:rFonts w:ascii="Times New Roman" w:hAnsi="Times New Roman" w:cs="Times New Roman"/>
          <w:sz w:val="24"/>
          <w:szCs w:val="24"/>
        </w:rPr>
        <w:t>The legal rights of sellers and customers in relation to the cure of non-conforming items were at issue in this case. It also explains how far a buyer's insurance is required by law to cover only risks arising from the buyer's obligation, not those aris</w:t>
      </w:r>
      <w:r w:rsidR="00D569B1">
        <w:rPr>
          <w:rFonts w:ascii="Times New Roman" w:hAnsi="Times New Roman" w:cs="Times New Roman"/>
          <w:sz w:val="24"/>
          <w:szCs w:val="24"/>
        </w:rPr>
        <w:t>ing from the seller's acts. Maho</w:t>
      </w:r>
      <w:r w:rsidRPr="00727111">
        <w:rPr>
          <w:rFonts w:ascii="Times New Roman" w:hAnsi="Times New Roman" w:cs="Times New Roman"/>
          <w:sz w:val="24"/>
          <w:szCs w:val="24"/>
        </w:rPr>
        <w:t>'s attempts to avoid paying for the equipment's remedy expenses based on the assumption that the buyer's insurer would cover the non-conformity were thwarted. The Travellers will be able to recoup $ 271,904 in costs associated with acquiring and shipping new equipment in this manner. As a result, in my opinion, the court should decide in favor of the Travellers, because they are required by law to pay damages incurred by the buyer but not by the seller, and the seller should blame the packer, who may have crated the machine improperly, rather than the insurer.</w:t>
      </w:r>
    </w:p>
    <w:p w:rsidR="006D7F46" w:rsidRPr="00727111" w:rsidRDefault="006D7F46" w:rsidP="006D7F46">
      <w:pPr>
        <w:spacing w:line="480" w:lineRule="auto"/>
        <w:ind w:firstLine="720"/>
        <w:jc w:val="both"/>
        <w:rPr>
          <w:rFonts w:ascii="Times New Roman" w:hAnsi="Times New Roman" w:cs="Times New Roman"/>
          <w:sz w:val="24"/>
          <w:szCs w:val="24"/>
        </w:rPr>
      </w:pPr>
    </w:p>
    <w:p w:rsidR="00795704" w:rsidRPr="00727111" w:rsidRDefault="00F76A18" w:rsidP="006D7F46">
      <w:pPr>
        <w:spacing w:line="480" w:lineRule="auto"/>
        <w:ind w:firstLine="720"/>
        <w:jc w:val="both"/>
        <w:rPr>
          <w:rFonts w:ascii="Times New Roman" w:hAnsi="Times New Roman" w:cs="Times New Roman"/>
          <w:sz w:val="24"/>
          <w:szCs w:val="24"/>
        </w:rPr>
      </w:pPr>
      <w:r w:rsidRPr="00727111">
        <w:rPr>
          <w:rFonts w:ascii="Times New Roman" w:hAnsi="Times New Roman" w:cs="Times New Roman"/>
          <w:sz w:val="24"/>
          <w:szCs w:val="24"/>
        </w:rPr>
        <w:lastRenderedPageBreak/>
        <w:t>S</w:t>
      </w:r>
      <w:r w:rsidR="00A734A8" w:rsidRPr="00727111">
        <w:rPr>
          <w:rFonts w:ascii="Times New Roman" w:hAnsi="Times New Roman" w:cs="Times New Roman"/>
          <w:sz w:val="24"/>
          <w:szCs w:val="24"/>
        </w:rPr>
        <w:t>ituations of non-conformity, including cure will be addressed with a lot of ease in future long-distance selling and purchasing contracts. The rights of the buyer and seller are clearly defined, which means that third parties from the seller's side cannot intervene directly in matter</w:t>
      </w:r>
      <w:r w:rsidR="006D7F46" w:rsidRPr="00727111">
        <w:rPr>
          <w:rFonts w:ascii="Times New Roman" w:hAnsi="Times New Roman" w:cs="Times New Roman"/>
          <w:sz w:val="24"/>
          <w:szCs w:val="24"/>
        </w:rPr>
        <w:t>s involving the buyer. This way</w:t>
      </w:r>
      <w:r w:rsidR="00A734A8" w:rsidRPr="00727111">
        <w:rPr>
          <w:rFonts w:ascii="Times New Roman" w:hAnsi="Times New Roman" w:cs="Times New Roman"/>
          <w:sz w:val="24"/>
          <w:szCs w:val="24"/>
        </w:rPr>
        <w:t>, the seller bears all responsibility for delivering the product in good working order, minimizing all risks.</w:t>
      </w:r>
    </w:p>
    <w:p w:rsidR="00795704" w:rsidRPr="00727111" w:rsidRDefault="00421E06" w:rsidP="00421E06">
      <w:pPr>
        <w:spacing w:line="480" w:lineRule="auto"/>
        <w:jc w:val="center"/>
        <w:rPr>
          <w:rFonts w:ascii="Times New Roman" w:hAnsi="Times New Roman" w:cs="Times New Roman"/>
          <w:b/>
          <w:sz w:val="24"/>
          <w:szCs w:val="24"/>
        </w:rPr>
      </w:pPr>
      <w:r w:rsidRPr="00421E06">
        <w:rPr>
          <w:rFonts w:ascii="Times New Roman" w:hAnsi="Times New Roman" w:cs="Times New Roman"/>
          <w:b/>
          <w:sz w:val="24"/>
          <w:szCs w:val="24"/>
        </w:rPr>
        <w:t>Nedlo</w:t>
      </w:r>
      <w:r>
        <w:rPr>
          <w:rFonts w:ascii="Times New Roman" w:hAnsi="Times New Roman" w:cs="Times New Roman"/>
          <w:b/>
          <w:sz w:val="24"/>
          <w:szCs w:val="24"/>
        </w:rPr>
        <w:t xml:space="preserve">yd v. Sanderson Farms, Inc. </w:t>
      </w:r>
    </w:p>
    <w:p w:rsidR="005A30D3" w:rsidRPr="00727111" w:rsidRDefault="00F76A18" w:rsidP="006D7F46">
      <w:pPr>
        <w:spacing w:line="480" w:lineRule="auto"/>
        <w:ind w:firstLine="720"/>
        <w:jc w:val="both"/>
        <w:rPr>
          <w:rFonts w:ascii="Times New Roman" w:hAnsi="Times New Roman" w:cs="Times New Roman"/>
          <w:sz w:val="24"/>
          <w:szCs w:val="24"/>
        </w:rPr>
      </w:pPr>
      <w:r w:rsidRPr="00727111">
        <w:rPr>
          <w:rFonts w:ascii="Times New Roman" w:hAnsi="Times New Roman" w:cs="Times New Roman"/>
          <w:sz w:val="24"/>
          <w:szCs w:val="24"/>
        </w:rPr>
        <w:t>According to the facts of this case, Sam's Management Group (SMG)</w:t>
      </w:r>
      <w:r w:rsidR="00E03DD5">
        <w:rPr>
          <w:rFonts w:ascii="Times New Roman" w:hAnsi="Times New Roman" w:cs="Times New Roman"/>
          <w:sz w:val="24"/>
          <w:szCs w:val="24"/>
        </w:rPr>
        <w:t>, the plaintiff,</w:t>
      </w:r>
      <w:r w:rsidRPr="00727111">
        <w:rPr>
          <w:rFonts w:ascii="Times New Roman" w:hAnsi="Times New Roman" w:cs="Times New Roman"/>
          <w:sz w:val="24"/>
          <w:szCs w:val="24"/>
        </w:rPr>
        <w:t xml:space="preserve"> was a frozen-poultry wholesaler who was procured to sell twenty-four containers of frozen poultry to Leonid's Russian company, KVADRO. One of the vendors was Sanderson. Cost insurance and freight were included in the shipping conditions. SMG bought Lloyd's insurance cover for a year. P &amp; O Nedlloyd, Ltd, a New Jersey-based shipper, was in charge of the deliveries. The Russian government revoked all previous veterinary permits for the import of poultry from the United States on April 15, 2002</w:t>
      </w:r>
      <w:r w:rsidR="00F12044" w:rsidRPr="00727111">
        <w:rPr>
          <w:rFonts w:ascii="Times New Roman" w:hAnsi="Times New Roman" w:cs="Times New Roman"/>
          <w:sz w:val="24"/>
          <w:szCs w:val="24"/>
          <w:shd w:val="clear" w:color="auto" w:fill="FFFFFF"/>
        </w:rPr>
        <w:t xml:space="preserve">. </w:t>
      </w:r>
      <w:r w:rsidRPr="00727111">
        <w:rPr>
          <w:rFonts w:ascii="Times New Roman" w:hAnsi="Times New Roman" w:cs="Times New Roman"/>
          <w:sz w:val="24"/>
          <w:szCs w:val="24"/>
          <w:shd w:val="clear" w:color="auto" w:fill="FFFFFF"/>
        </w:rPr>
        <w:t>Due to this, as well as a change in the place where the chicken was to be sent, the shipment was found to be in violation of the 60-day guideline and was confiscated.</w:t>
      </w:r>
    </w:p>
    <w:p w:rsidR="00E452D6" w:rsidRDefault="00F76A18" w:rsidP="00E452D6">
      <w:pPr>
        <w:spacing w:line="480" w:lineRule="auto"/>
        <w:ind w:firstLine="720"/>
        <w:jc w:val="both"/>
        <w:rPr>
          <w:rFonts w:ascii="Times New Roman" w:hAnsi="Times New Roman" w:cs="Times New Roman"/>
          <w:sz w:val="24"/>
          <w:szCs w:val="24"/>
          <w:shd w:val="clear" w:color="auto" w:fill="FFFFFF"/>
        </w:rPr>
      </w:pPr>
      <w:r w:rsidRPr="00727111">
        <w:rPr>
          <w:rFonts w:ascii="Times New Roman" w:hAnsi="Times New Roman" w:cs="Times New Roman"/>
          <w:sz w:val="24"/>
          <w:szCs w:val="24"/>
          <w:shd w:val="clear" w:color="auto" w:fill="FFFFFF"/>
        </w:rPr>
        <w:t>SMG made a claim against the insurance, Lloyd's, as a result of the loss, but it was denied</w:t>
      </w:r>
      <w:r w:rsidR="00272B7C" w:rsidRPr="00727111">
        <w:rPr>
          <w:rFonts w:ascii="Times New Roman" w:hAnsi="Times New Roman" w:cs="Times New Roman"/>
          <w:sz w:val="24"/>
          <w:szCs w:val="24"/>
          <w:shd w:val="clear" w:color="auto" w:fill="FFFFFF"/>
        </w:rPr>
        <w:t xml:space="preserve"> (</w:t>
      </w:r>
      <w:r w:rsidR="00343F96" w:rsidRPr="00727111">
        <w:rPr>
          <w:rFonts w:ascii="Times New Roman" w:hAnsi="Times New Roman" w:cs="Times New Roman"/>
          <w:i/>
          <w:iCs/>
          <w:color w:val="222222"/>
          <w:sz w:val="24"/>
          <w:szCs w:val="24"/>
          <w:shd w:val="clear" w:color="auto" w:fill="FFFFFF"/>
        </w:rPr>
        <w:t>P &amp; O NEDLLOYD, LTD. v. Sanderson Farms, Inc.</w:t>
      </w:r>
      <w:r w:rsidR="00343F96">
        <w:rPr>
          <w:rFonts w:ascii="Times New Roman" w:hAnsi="Times New Roman" w:cs="Times New Roman"/>
          <w:color w:val="222222"/>
          <w:sz w:val="24"/>
          <w:szCs w:val="24"/>
          <w:shd w:val="clear" w:color="auto" w:fill="FFFFFF"/>
        </w:rPr>
        <w:t>, 7</w:t>
      </w:r>
      <w:r w:rsidR="00272B7C" w:rsidRPr="00727111">
        <w:rPr>
          <w:rFonts w:ascii="Times New Roman" w:hAnsi="Times New Roman" w:cs="Times New Roman"/>
          <w:sz w:val="24"/>
          <w:szCs w:val="24"/>
          <w:shd w:val="clear" w:color="auto" w:fill="FFFFFF"/>
        </w:rPr>
        <w:t>)</w:t>
      </w:r>
      <w:r w:rsidRPr="00727111">
        <w:rPr>
          <w:rFonts w:ascii="Times New Roman" w:hAnsi="Times New Roman" w:cs="Times New Roman"/>
          <w:sz w:val="24"/>
          <w:szCs w:val="24"/>
          <w:shd w:val="clear" w:color="auto" w:fill="FFFFFF"/>
        </w:rPr>
        <w:t>. As a result, Nedlloyd and SMG sued each other for freight costs and damages. SMG had no insurable interests, according to the district court, and Nedlloyd was not the intended beneficiary. SMG filed an appeal against the decision.</w:t>
      </w:r>
    </w:p>
    <w:p w:rsidR="00FE6DDC" w:rsidRDefault="00FE6DDC" w:rsidP="00E452D6">
      <w:pPr>
        <w:spacing w:line="480" w:lineRule="auto"/>
        <w:ind w:firstLine="720"/>
        <w:jc w:val="both"/>
        <w:rPr>
          <w:rFonts w:ascii="Times New Roman" w:hAnsi="Times New Roman" w:cs="Times New Roman"/>
          <w:sz w:val="24"/>
          <w:szCs w:val="24"/>
          <w:shd w:val="clear" w:color="auto" w:fill="FFFFFF"/>
        </w:rPr>
      </w:pPr>
    </w:p>
    <w:p w:rsidR="00FE6DDC" w:rsidRDefault="00FE6DDC" w:rsidP="00E452D6">
      <w:pPr>
        <w:spacing w:line="480" w:lineRule="auto"/>
        <w:ind w:firstLine="720"/>
        <w:jc w:val="both"/>
        <w:rPr>
          <w:rFonts w:ascii="Times New Roman" w:hAnsi="Times New Roman" w:cs="Times New Roman"/>
          <w:sz w:val="24"/>
          <w:szCs w:val="24"/>
          <w:shd w:val="clear" w:color="auto" w:fill="FFFFFF"/>
        </w:rPr>
      </w:pPr>
    </w:p>
    <w:p w:rsidR="00FE6DDC" w:rsidRPr="00727111" w:rsidRDefault="00FE6DDC" w:rsidP="00E452D6">
      <w:pPr>
        <w:spacing w:line="480" w:lineRule="auto"/>
        <w:ind w:firstLine="720"/>
        <w:jc w:val="both"/>
        <w:rPr>
          <w:rFonts w:ascii="Times New Roman" w:hAnsi="Times New Roman" w:cs="Times New Roman"/>
          <w:sz w:val="24"/>
          <w:szCs w:val="24"/>
          <w:shd w:val="clear" w:color="auto" w:fill="FFFFFF"/>
        </w:rPr>
      </w:pPr>
    </w:p>
    <w:p w:rsidR="002E4290" w:rsidRPr="00727111" w:rsidRDefault="00F76A18" w:rsidP="00E452D6">
      <w:pPr>
        <w:spacing w:line="480" w:lineRule="auto"/>
        <w:ind w:firstLine="720"/>
        <w:jc w:val="center"/>
        <w:rPr>
          <w:rFonts w:ascii="Times New Roman" w:hAnsi="Times New Roman" w:cs="Times New Roman"/>
          <w:sz w:val="24"/>
          <w:szCs w:val="24"/>
          <w:shd w:val="clear" w:color="auto" w:fill="FFFFFF"/>
        </w:rPr>
      </w:pPr>
      <w:r w:rsidRPr="00727111">
        <w:rPr>
          <w:rFonts w:ascii="Times New Roman" w:hAnsi="Times New Roman" w:cs="Times New Roman"/>
          <w:b/>
          <w:sz w:val="24"/>
          <w:szCs w:val="24"/>
        </w:rPr>
        <w:lastRenderedPageBreak/>
        <w:t>Issue</w:t>
      </w:r>
    </w:p>
    <w:p w:rsidR="001D06C6" w:rsidRPr="00727111" w:rsidRDefault="00F76A18" w:rsidP="006D7F46">
      <w:pPr>
        <w:spacing w:line="480" w:lineRule="auto"/>
        <w:ind w:firstLine="720"/>
        <w:jc w:val="both"/>
        <w:rPr>
          <w:rFonts w:ascii="Times New Roman" w:hAnsi="Times New Roman" w:cs="Times New Roman"/>
          <w:sz w:val="24"/>
          <w:szCs w:val="24"/>
          <w:shd w:val="clear" w:color="auto" w:fill="FFFFFF"/>
        </w:rPr>
      </w:pPr>
      <w:r w:rsidRPr="00727111">
        <w:rPr>
          <w:rFonts w:ascii="Times New Roman" w:hAnsi="Times New Roman" w:cs="Times New Roman"/>
          <w:sz w:val="24"/>
          <w:szCs w:val="24"/>
        </w:rPr>
        <w:t>The court had to evaluate whether SMG had the legal right to recover the missing cargo under Lloyd's policy. Furthermore, if SMG's counterclaim that P&amp;O caused the loss by failing to provide the promised services was correct. Also, whether Nedlloyd's claim against the policy as a third-party beneficiary was legal. The annual insurance policy obtained from Lloyds was supposed to provide direct indemnification to SMG. On the other hand, the underwriters contended that SMG had no insurable interests on the frozen poultry at the time of loss, and that their policy did not cover credit risks like those experienced by Nedlloyd and Sunderson.</w:t>
      </w:r>
      <w:r w:rsidR="006536CA" w:rsidRPr="00727111">
        <w:rPr>
          <w:rFonts w:ascii="Times New Roman" w:hAnsi="Times New Roman" w:cs="Times New Roman"/>
          <w:sz w:val="24"/>
          <w:szCs w:val="24"/>
          <w:shd w:val="clear" w:color="auto" w:fill="FFFFFF"/>
        </w:rPr>
        <w:t xml:space="preserve"> </w:t>
      </w:r>
      <w:r w:rsidRPr="00727111">
        <w:rPr>
          <w:rFonts w:ascii="Times New Roman" w:hAnsi="Times New Roman" w:cs="Times New Roman"/>
          <w:sz w:val="24"/>
          <w:szCs w:val="24"/>
          <w:shd w:val="clear" w:color="auto" w:fill="FFFFFF"/>
        </w:rPr>
        <w:t>The appeal court maintained the lower court's ruling, stating that the CIF transaction constituted a transfer of ownership title, resulting in the loss of an insurable policy under Arkansas' Uniform Commercial Code (UCC). Following the grant of summary judgment, Nedlloyd decided to drop its claim against SMG.</w:t>
      </w:r>
    </w:p>
    <w:p w:rsidR="002D2FDE" w:rsidRPr="00727111" w:rsidRDefault="00F76A18" w:rsidP="00E452D6">
      <w:pPr>
        <w:spacing w:line="480" w:lineRule="auto"/>
        <w:jc w:val="center"/>
        <w:rPr>
          <w:rFonts w:ascii="Times New Roman" w:hAnsi="Times New Roman" w:cs="Times New Roman"/>
          <w:b/>
          <w:bCs/>
          <w:sz w:val="24"/>
          <w:szCs w:val="24"/>
        </w:rPr>
      </w:pPr>
      <w:r w:rsidRPr="00727111">
        <w:rPr>
          <w:rFonts w:ascii="Times New Roman" w:hAnsi="Times New Roman" w:cs="Times New Roman"/>
          <w:b/>
          <w:bCs/>
          <w:sz w:val="24"/>
          <w:szCs w:val="24"/>
        </w:rPr>
        <w:t>Opinion-Based Arguments</w:t>
      </w:r>
    </w:p>
    <w:p w:rsidR="00A069E1" w:rsidRDefault="00F76A18" w:rsidP="006D7F46">
      <w:pPr>
        <w:spacing w:line="480" w:lineRule="auto"/>
        <w:ind w:firstLine="720"/>
        <w:jc w:val="both"/>
        <w:rPr>
          <w:rFonts w:ascii="Times New Roman" w:hAnsi="Times New Roman" w:cs="Times New Roman"/>
          <w:sz w:val="24"/>
          <w:szCs w:val="24"/>
        </w:rPr>
      </w:pPr>
      <w:r w:rsidRPr="00727111">
        <w:rPr>
          <w:rFonts w:ascii="Times New Roman" w:hAnsi="Times New Roman" w:cs="Times New Roman"/>
          <w:sz w:val="24"/>
          <w:szCs w:val="24"/>
        </w:rPr>
        <w:t>This case involved the validity of insurable interests in accordance with the insurance policy contract. The application of the law determines whether or not a policy has an insurable interest, and the Lloyds argued under Arkansas law</w:t>
      </w:r>
      <w:r w:rsidR="007E4D5C">
        <w:rPr>
          <w:rFonts w:ascii="Times New Roman" w:hAnsi="Times New Roman" w:cs="Times New Roman"/>
          <w:sz w:val="24"/>
          <w:szCs w:val="24"/>
        </w:rPr>
        <w:t xml:space="preserve"> (</w:t>
      </w:r>
      <w:r w:rsidR="007E4D5C" w:rsidRPr="00727111">
        <w:rPr>
          <w:rFonts w:ascii="Times New Roman" w:hAnsi="Times New Roman" w:cs="Times New Roman"/>
          <w:color w:val="222222"/>
          <w:sz w:val="24"/>
          <w:szCs w:val="24"/>
          <w:shd w:val="clear" w:color="auto" w:fill="FFFFFF"/>
        </w:rPr>
        <w:t>Clarke</w:t>
      </w:r>
      <w:r w:rsidR="007E4D5C">
        <w:rPr>
          <w:rFonts w:ascii="Times New Roman" w:hAnsi="Times New Roman" w:cs="Times New Roman"/>
          <w:color w:val="222222"/>
          <w:sz w:val="24"/>
          <w:szCs w:val="24"/>
          <w:shd w:val="clear" w:color="auto" w:fill="FFFFFF"/>
        </w:rPr>
        <w:t>, 205</w:t>
      </w:r>
      <w:r w:rsidR="007E4D5C">
        <w:rPr>
          <w:rFonts w:ascii="Times New Roman" w:hAnsi="Times New Roman" w:cs="Times New Roman"/>
          <w:sz w:val="24"/>
          <w:szCs w:val="24"/>
        </w:rPr>
        <w:t>)</w:t>
      </w:r>
      <w:r w:rsidRPr="00727111">
        <w:rPr>
          <w:rFonts w:ascii="Times New Roman" w:hAnsi="Times New Roman" w:cs="Times New Roman"/>
          <w:sz w:val="24"/>
          <w:szCs w:val="24"/>
        </w:rPr>
        <w:t xml:space="preserve">. The F.A.S delivery, on which SMG's clerical error argument was founded, could not win since it was </w:t>
      </w:r>
      <w:r w:rsidR="00F620F0">
        <w:rPr>
          <w:rFonts w:ascii="Times New Roman" w:hAnsi="Times New Roman" w:cs="Times New Roman"/>
          <w:sz w:val="24"/>
          <w:szCs w:val="24"/>
        </w:rPr>
        <w:t>un</w:t>
      </w:r>
      <w:r w:rsidRPr="00727111">
        <w:rPr>
          <w:rFonts w:ascii="Times New Roman" w:hAnsi="Times New Roman" w:cs="Times New Roman"/>
          <w:sz w:val="24"/>
          <w:szCs w:val="24"/>
        </w:rPr>
        <w:t>known knowl</w:t>
      </w:r>
      <w:r w:rsidR="0036454D">
        <w:rPr>
          <w:rFonts w:ascii="Times New Roman" w:hAnsi="Times New Roman" w:cs="Times New Roman"/>
          <w:sz w:val="24"/>
          <w:szCs w:val="24"/>
        </w:rPr>
        <w:t xml:space="preserve">edge before the court. The contract </w:t>
      </w:r>
      <w:r w:rsidR="00AB0351">
        <w:rPr>
          <w:rFonts w:ascii="Times New Roman" w:hAnsi="Times New Roman" w:cs="Times New Roman"/>
          <w:sz w:val="24"/>
          <w:szCs w:val="24"/>
        </w:rPr>
        <w:t>was CIF whereby SMG was entitled possession while the goods were in transit but once they arrived, possession went to the buyer.</w:t>
      </w:r>
    </w:p>
    <w:p w:rsidR="007C71F6" w:rsidRDefault="007C71F6" w:rsidP="006D7F46">
      <w:pPr>
        <w:spacing w:line="480" w:lineRule="auto"/>
        <w:ind w:firstLine="720"/>
        <w:jc w:val="both"/>
        <w:rPr>
          <w:rFonts w:ascii="Times New Roman" w:hAnsi="Times New Roman" w:cs="Times New Roman"/>
          <w:sz w:val="24"/>
          <w:szCs w:val="24"/>
        </w:rPr>
      </w:pPr>
    </w:p>
    <w:p w:rsidR="007C71F6" w:rsidRDefault="007C71F6" w:rsidP="006D7F46">
      <w:pPr>
        <w:spacing w:line="480" w:lineRule="auto"/>
        <w:ind w:firstLine="720"/>
        <w:jc w:val="both"/>
        <w:rPr>
          <w:rFonts w:ascii="Times New Roman" w:hAnsi="Times New Roman" w:cs="Times New Roman"/>
          <w:sz w:val="24"/>
          <w:szCs w:val="24"/>
        </w:rPr>
      </w:pPr>
    </w:p>
    <w:p w:rsidR="007C71F6" w:rsidRPr="00727111" w:rsidRDefault="007C71F6" w:rsidP="006D7F46">
      <w:pPr>
        <w:spacing w:line="480" w:lineRule="auto"/>
        <w:ind w:firstLine="720"/>
        <w:jc w:val="both"/>
        <w:rPr>
          <w:rFonts w:ascii="Times New Roman" w:hAnsi="Times New Roman" w:cs="Times New Roman"/>
          <w:sz w:val="24"/>
          <w:szCs w:val="24"/>
        </w:rPr>
      </w:pPr>
    </w:p>
    <w:p w:rsidR="00127A47" w:rsidRDefault="00F76A18" w:rsidP="00127A47">
      <w:pPr>
        <w:spacing w:line="480" w:lineRule="auto"/>
        <w:ind w:firstLine="720"/>
        <w:jc w:val="both"/>
        <w:rPr>
          <w:rFonts w:ascii="Times New Roman" w:hAnsi="Times New Roman" w:cs="Times New Roman"/>
          <w:sz w:val="24"/>
          <w:szCs w:val="24"/>
        </w:rPr>
      </w:pPr>
      <w:r w:rsidRPr="00727111">
        <w:rPr>
          <w:rFonts w:ascii="Times New Roman" w:hAnsi="Times New Roman" w:cs="Times New Roman"/>
          <w:sz w:val="24"/>
          <w:szCs w:val="24"/>
        </w:rPr>
        <w:lastRenderedPageBreak/>
        <w:t xml:space="preserve">In my view, No, SMG did not have Insurable Interest since their product delivery approach </w:t>
      </w:r>
      <w:r w:rsidR="000D72A0">
        <w:rPr>
          <w:rFonts w:ascii="Times New Roman" w:hAnsi="Times New Roman" w:cs="Times New Roman"/>
          <w:sz w:val="24"/>
          <w:szCs w:val="24"/>
        </w:rPr>
        <w:t xml:space="preserve">meant that, upon arrival, the goods transferred to </w:t>
      </w:r>
      <w:r w:rsidR="004B3831" w:rsidRPr="00727111">
        <w:rPr>
          <w:rFonts w:ascii="Times New Roman" w:hAnsi="Times New Roman" w:cs="Times New Roman"/>
          <w:sz w:val="24"/>
          <w:szCs w:val="24"/>
        </w:rPr>
        <w:t>KVADRO</w:t>
      </w:r>
      <w:r w:rsidRPr="00727111">
        <w:rPr>
          <w:rFonts w:ascii="Times New Roman" w:hAnsi="Times New Roman" w:cs="Times New Roman"/>
          <w:sz w:val="24"/>
          <w:szCs w:val="24"/>
        </w:rPr>
        <w:t>. Consequently, payment was not due on the arrival of goods despite the possession having being changed. Insurable interest would have been</w:t>
      </w:r>
      <w:r w:rsidR="003B6FD2">
        <w:rPr>
          <w:rFonts w:ascii="Times New Roman" w:hAnsi="Times New Roman" w:cs="Times New Roman"/>
          <w:sz w:val="24"/>
          <w:szCs w:val="24"/>
        </w:rPr>
        <w:t xml:space="preserve"> legal if there had been a </w:t>
      </w:r>
      <w:r w:rsidR="008C0983">
        <w:rPr>
          <w:rFonts w:ascii="Times New Roman" w:hAnsi="Times New Roman" w:cs="Times New Roman"/>
          <w:sz w:val="24"/>
          <w:szCs w:val="24"/>
        </w:rPr>
        <w:t xml:space="preserve">policy extension beyond </w:t>
      </w:r>
      <w:r w:rsidR="003B6FD2">
        <w:rPr>
          <w:rFonts w:ascii="Times New Roman" w:hAnsi="Times New Roman" w:cs="Times New Roman"/>
          <w:sz w:val="24"/>
          <w:szCs w:val="24"/>
        </w:rPr>
        <w:t>C.I.F</w:t>
      </w:r>
      <w:r w:rsidR="00C4052E">
        <w:rPr>
          <w:rFonts w:ascii="Times New Roman" w:hAnsi="Times New Roman" w:cs="Times New Roman"/>
          <w:sz w:val="24"/>
          <w:szCs w:val="24"/>
        </w:rPr>
        <w:t xml:space="preserve"> contract that </w:t>
      </w:r>
      <w:r w:rsidR="008C0983">
        <w:rPr>
          <w:rFonts w:ascii="Times New Roman" w:hAnsi="Times New Roman" w:cs="Times New Roman"/>
          <w:sz w:val="24"/>
          <w:szCs w:val="24"/>
        </w:rPr>
        <w:t>allowed possession until the buyer paid for the goods.</w:t>
      </w:r>
      <w:r w:rsidRPr="00727111">
        <w:rPr>
          <w:rFonts w:ascii="Times New Roman" w:hAnsi="Times New Roman" w:cs="Times New Roman"/>
          <w:sz w:val="24"/>
          <w:szCs w:val="24"/>
        </w:rPr>
        <w:t xml:space="preserve"> </w:t>
      </w:r>
    </w:p>
    <w:p w:rsidR="007B1CCC" w:rsidRDefault="00F76A18" w:rsidP="00127A47">
      <w:pPr>
        <w:spacing w:line="480" w:lineRule="auto"/>
        <w:ind w:firstLine="720"/>
        <w:jc w:val="both"/>
        <w:rPr>
          <w:rFonts w:ascii="Times New Roman" w:hAnsi="Times New Roman" w:cs="Times New Roman"/>
          <w:sz w:val="24"/>
          <w:szCs w:val="24"/>
        </w:rPr>
      </w:pPr>
      <w:r w:rsidRPr="00727111">
        <w:rPr>
          <w:rFonts w:ascii="Times New Roman" w:hAnsi="Times New Roman" w:cs="Times New Roman"/>
          <w:sz w:val="24"/>
          <w:szCs w:val="24"/>
        </w:rPr>
        <w:t xml:space="preserve">This case was significant in educating </w:t>
      </w:r>
      <w:r w:rsidR="00960389">
        <w:rPr>
          <w:rFonts w:ascii="Times New Roman" w:hAnsi="Times New Roman" w:cs="Times New Roman"/>
          <w:sz w:val="24"/>
          <w:szCs w:val="24"/>
        </w:rPr>
        <w:t xml:space="preserve">future </w:t>
      </w:r>
      <w:r w:rsidRPr="00727111">
        <w:rPr>
          <w:rFonts w:ascii="Times New Roman" w:hAnsi="Times New Roman" w:cs="Times New Roman"/>
          <w:sz w:val="24"/>
          <w:szCs w:val="24"/>
        </w:rPr>
        <w:t>policyholders to confirm the law controlling their policy coverage so that they do not lose insurable interest in their properties without knowing it.</w:t>
      </w:r>
      <w:r w:rsidR="00960389">
        <w:rPr>
          <w:rFonts w:ascii="Times New Roman" w:hAnsi="Times New Roman" w:cs="Times New Roman"/>
          <w:sz w:val="24"/>
          <w:szCs w:val="24"/>
        </w:rPr>
        <w:t xml:space="preserve"> </w:t>
      </w:r>
      <w:r w:rsidR="00023266">
        <w:rPr>
          <w:rFonts w:ascii="Times New Roman" w:hAnsi="Times New Roman" w:cs="Times New Roman"/>
          <w:sz w:val="24"/>
          <w:szCs w:val="24"/>
        </w:rPr>
        <w:t xml:space="preserve">For  Future business contracts, due to the question of insurable interests, FOB has proved to be less </w:t>
      </w:r>
      <w:r w:rsidR="00EF5A20">
        <w:rPr>
          <w:rFonts w:ascii="Times New Roman" w:hAnsi="Times New Roman" w:cs="Times New Roman"/>
          <w:sz w:val="24"/>
          <w:szCs w:val="24"/>
        </w:rPr>
        <w:t>risky to seller in case of loss of go</w:t>
      </w:r>
      <w:r w:rsidR="00BC7733">
        <w:rPr>
          <w:rFonts w:ascii="Times New Roman" w:hAnsi="Times New Roman" w:cs="Times New Roman"/>
          <w:sz w:val="24"/>
          <w:szCs w:val="24"/>
        </w:rPr>
        <w:t>ods, however, due the high risk, the returns of CIF are apparently high.</w:t>
      </w:r>
      <w:r w:rsidR="00624718">
        <w:rPr>
          <w:rFonts w:ascii="Times New Roman" w:hAnsi="Times New Roman" w:cs="Times New Roman"/>
          <w:sz w:val="24"/>
          <w:szCs w:val="24"/>
        </w:rPr>
        <w:t xml:space="preserve"> </w:t>
      </w:r>
      <w:r w:rsidR="008665EB">
        <w:rPr>
          <w:rFonts w:ascii="Times New Roman" w:hAnsi="Times New Roman" w:cs="Times New Roman"/>
          <w:sz w:val="24"/>
          <w:szCs w:val="24"/>
        </w:rPr>
        <w:t>In addition</w:t>
      </w:r>
      <w:r w:rsidR="00E20769">
        <w:rPr>
          <w:rFonts w:ascii="Times New Roman" w:hAnsi="Times New Roman" w:cs="Times New Roman"/>
          <w:sz w:val="24"/>
          <w:szCs w:val="24"/>
        </w:rPr>
        <w:t>, another fut</w:t>
      </w:r>
      <w:r w:rsidR="00FE6DDC">
        <w:rPr>
          <w:rFonts w:ascii="Times New Roman" w:hAnsi="Times New Roman" w:cs="Times New Roman"/>
          <w:sz w:val="24"/>
          <w:szCs w:val="24"/>
        </w:rPr>
        <w:t>ure benefit is the assessment</w:t>
      </w:r>
      <w:r w:rsidR="00E20769">
        <w:rPr>
          <w:rFonts w:ascii="Times New Roman" w:hAnsi="Times New Roman" w:cs="Times New Roman"/>
          <w:sz w:val="24"/>
          <w:szCs w:val="24"/>
        </w:rPr>
        <w:t xml:space="preserve"> of </w:t>
      </w:r>
      <w:r w:rsidR="00613119">
        <w:rPr>
          <w:rFonts w:ascii="Times New Roman" w:hAnsi="Times New Roman" w:cs="Times New Roman"/>
          <w:sz w:val="24"/>
          <w:szCs w:val="24"/>
        </w:rPr>
        <w:t>risks that may arise from the buyers side and undert</w:t>
      </w:r>
      <w:r w:rsidR="00CD127F">
        <w:rPr>
          <w:rFonts w:ascii="Times New Roman" w:hAnsi="Times New Roman" w:cs="Times New Roman"/>
          <w:sz w:val="24"/>
          <w:szCs w:val="24"/>
        </w:rPr>
        <w:t xml:space="preserve">aking the relevant policy cover for </w:t>
      </w:r>
      <w:r w:rsidR="00FE6DDC">
        <w:rPr>
          <w:rFonts w:ascii="Times New Roman" w:hAnsi="Times New Roman" w:cs="Times New Roman"/>
          <w:sz w:val="24"/>
          <w:szCs w:val="24"/>
        </w:rPr>
        <w:t xml:space="preserve">contract </w:t>
      </w:r>
      <w:r w:rsidR="00CD127F">
        <w:rPr>
          <w:rFonts w:ascii="Times New Roman" w:hAnsi="Times New Roman" w:cs="Times New Roman"/>
          <w:sz w:val="24"/>
          <w:szCs w:val="24"/>
        </w:rPr>
        <w:t>safety</w:t>
      </w:r>
      <w:r w:rsidR="00FE6DDC">
        <w:rPr>
          <w:rFonts w:ascii="Times New Roman" w:hAnsi="Times New Roman" w:cs="Times New Roman"/>
          <w:sz w:val="24"/>
          <w:szCs w:val="24"/>
        </w:rPr>
        <w:t>.</w:t>
      </w:r>
    </w:p>
    <w:p w:rsidR="00752BDC" w:rsidRDefault="00752BDC" w:rsidP="00127A47">
      <w:pPr>
        <w:spacing w:line="480" w:lineRule="auto"/>
        <w:ind w:firstLine="720"/>
        <w:jc w:val="both"/>
        <w:rPr>
          <w:rFonts w:ascii="Times New Roman" w:hAnsi="Times New Roman" w:cs="Times New Roman"/>
          <w:sz w:val="24"/>
          <w:szCs w:val="24"/>
        </w:rPr>
      </w:pPr>
    </w:p>
    <w:p w:rsidR="00752BDC" w:rsidRDefault="00752BDC" w:rsidP="00127A47">
      <w:pPr>
        <w:spacing w:line="480" w:lineRule="auto"/>
        <w:ind w:firstLine="720"/>
        <w:jc w:val="both"/>
        <w:rPr>
          <w:rFonts w:ascii="Times New Roman" w:hAnsi="Times New Roman" w:cs="Times New Roman"/>
          <w:sz w:val="24"/>
          <w:szCs w:val="24"/>
        </w:rPr>
      </w:pPr>
    </w:p>
    <w:p w:rsidR="00752BDC" w:rsidRDefault="00752BDC" w:rsidP="00127A47">
      <w:pPr>
        <w:spacing w:line="480" w:lineRule="auto"/>
        <w:ind w:firstLine="720"/>
        <w:jc w:val="both"/>
        <w:rPr>
          <w:rFonts w:ascii="Times New Roman" w:hAnsi="Times New Roman" w:cs="Times New Roman"/>
          <w:sz w:val="24"/>
          <w:szCs w:val="24"/>
        </w:rPr>
      </w:pPr>
    </w:p>
    <w:p w:rsidR="00752BDC" w:rsidRDefault="00752BDC" w:rsidP="00127A47">
      <w:pPr>
        <w:spacing w:line="480" w:lineRule="auto"/>
        <w:ind w:firstLine="720"/>
        <w:jc w:val="both"/>
        <w:rPr>
          <w:rFonts w:ascii="Times New Roman" w:hAnsi="Times New Roman" w:cs="Times New Roman"/>
          <w:sz w:val="24"/>
          <w:szCs w:val="24"/>
        </w:rPr>
      </w:pPr>
    </w:p>
    <w:p w:rsidR="00752BDC" w:rsidRDefault="00752BDC" w:rsidP="00127A47">
      <w:pPr>
        <w:spacing w:line="480" w:lineRule="auto"/>
        <w:ind w:firstLine="720"/>
        <w:jc w:val="both"/>
        <w:rPr>
          <w:rFonts w:ascii="Times New Roman" w:hAnsi="Times New Roman" w:cs="Times New Roman"/>
          <w:sz w:val="24"/>
          <w:szCs w:val="24"/>
        </w:rPr>
      </w:pPr>
    </w:p>
    <w:p w:rsidR="00752BDC" w:rsidRDefault="00752BDC" w:rsidP="00127A47">
      <w:pPr>
        <w:spacing w:line="480" w:lineRule="auto"/>
        <w:ind w:firstLine="720"/>
        <w:jc w:val="both"/>
        <w:rPr>
          <w:rFonts w:ascii="Times New Roman" w:hAnsi="Times New Roman" w:cs="Times New Roman"/>
          <w:sz w:val="24"/>
          <w:szCs w:val="24"/>
        </w:rPr>
      </w:pPr>
    </w:p>
    <w:p w:rsidR="00752BDC" w:rsidRDefault="00752BDC" w:rsidP="00127A47">
      <w:pPr>
        <w:spacing w:line="480" w:lineRule="auto"/>
        <w:ind w:firstLine="720"/>
        <w:jc w:val="both"/>
        <w:rPr>
          <w:rFonts w:ascii="Times New Roman" w:hAnsi="Times New Roman" w:cs="Times New Roman"/>
          <w:sz w:val="24"/>
          <w:szCs w:val="24"/>
        </w:rPr>
      </w:pPr>
    </w:p>
    <w:p w:rsidR="00752BDC" w:rsidRDefault="00752BDC" w:rsidP="00127A47">
      <w:pPr>
        <w:spacing w:line="480" w:lineRule="auto"/>
        <w:ind w:firstLine="720"/>
        <w:jc w:val="both"/>
        <w:rPr>
          <w:rFonts w:ascii="Times New Roman" w:hAnsi="Times New Roman" w:cs="Times New Roman"/>
          <w:sz w:val="24"/>
          <w:szCs w:val="24"/>
        </w:rPr>
      </w:pPr>
    </w:p>
    <w:p w:rsidR="00752BDC" w:rsidRDefault="00752BDC" w:rsidP="00127A47">
      <w:pPr>
        <w:spacing w:line="480" w:lineRule="auto"/>
        <w:ind w:firstLine="720"/>
        <w:jc w:val="both"/>
        <w:rPr>
          <w:rFonts w:ascii="Times New Roman" w:hAnsi="Times New Roman" w:cs="Times New Roman"/>
          <w:sz w:val="24"/>
          <w:szCs w:val="24"/>
        </w:rPr>
      </w:pPr>
    </w:p>
    <w:p w:rsidR="005E789C" w:rsidRPr="00E17C13" w:rsidRDefault="00E17C13" w:rsidP="00D97EF6">
      <w:pPr>
        <w:spacing w:line="480" w:lineRule="auto"/>
        <w:jc w:val="center"/>
        <w:rPr>
          <w:rFonts w:ascii="Times New Roman" w:hAnsi="Times New Roman" w:cs="Times New Roman"/>
          <w:b/>
          <w:sz w:val="24"/>
          <w:szCs w:val="24"/>
        </w:rPr>
      </w:pPr>
      <w:r w:rsidRPr="00E17C13">
        <w:rPr>
          <w:rFonts w:ascii="Times New Roman" w:hAnsi="Times New Roman" w:cs="Times New Roman"/>
          <w:b/>
          <w:sz w:val="24"/>
          <w:szCs w:val="24"/>
        </w:rPr>
        <w:lastRenderedPageBreak/>
        <w:t>Work Cited</w:t>
      </w:r>
    </w:p>
    <w:p w:rsidR="00D97EF6" w:rsidRPr="00727111" w:rsidRDefault="00F76A18" w:rsidP="00FE5ED9">
      <w:pPr>
        <w:spacing w:line="480" w:lineRule="auto"/>
        <w:ind w:left="720" w:hanging="720"/>
        <w:jc w:val="both"/>
        <w:rPr>
          <w:rFonts w:ascii="Times New Roman" w:hAnsi="Times New Roman" w:cs="Times New Roman"/>
          <w:sz w:val="24"/>
          <w:szCs w:val="24"/>
        </w:rPr>
      </w:pPr>
      <w:r w:rsidRPr="00727111">
        <w:rPr>
          <w:rFonts w:ascii="Times New Roman" w:hAnsi="Times New Roman" w:cs="Times New Roman"/>
          <w:color w:val="222222"/>
          <w:sz w:val="24"/>
          <w:szCs w:val="24"/>
          <w:shd w:val="clear" w:color="auto" w:fill="FFFFFF"/>
        </w:rPr>
        <w:t>Clarke, Malcolm A. "Insurable Interest in Property in England-A Redundant Rule." </w:t>
      </w:r>
      <w:r w:rsidRPr="00727111">
        <w:rPr>
          <w:rFonts w:ascii="Times New Roman" w:hAnsi="Times New Roman" w:cs="Times New Roman"/>
          <w:i/>
          <w:iCs/>
          <w:color w:val="222222"/>
          <w:sz w:val="24"/>
          <w:szCs w:val="24"/>
          <w:shd w:val="clear" w:color="auto" w:fill="FFFFFF"/>
        </w:rPr>
        <w:t>EJCCL</w:t>
      </w:r>
      <w:r w:rsidRPr="00727111">
        <w:rPr>
          <w:rFonts w:ascii="Times New Roman" w:hAnsi="Times New Roman" w:cs="Times New Roman"/>
          <w:color w:val="222222"/>
          <w:sz w:val="24"/>
          <w:szCs w:val="24"/>
          <w:shd w:val="clear" w:color="auto" w:fill="FFFFFF"/>
        </w:rPr>
        <w:t> 2 (2010): 205.</w:t>
      </w:r>
    </w:p>
    <w:p w:rsidR="00D97EF6" w:rsidRPr="00727111" w:rsidRDefault="00F76A18" w:rsidP="00FE5ED9">
      <w:pPr>
        <w:spacing w:line="480" w:lineRule="auto"/>
        <w:ind w:left="720" w:hanging="720"/>
        <w:jc w:val="both"/>
        <w:rPr>
          <w:rFonts w:ascii="Times New Roman" w:hAnsi="Times New Roman" w:cs="Times New Roman"/>
          <w:sz w:val="24"/>
          <w:szCs w:val="24"/>
        </w:rPr>
      </w:pPr>
      <w:r w:rsidRPr="00727111">
        <w:rPr>
          <w:rFonts w:ascii="Times New Roman" w:hAnsi="Times New Roman" w:cs="Times New Roman"/>
          <w:i/>
          <w:iCs/>
          <w:color w:val="222222"/>
          <w:sz w:val="24"/>
          <w:szCs w:val="24"/>
          <w:shd w:val="clear" w:color="auto" w:fill="FFFFFF"/>
        </w:rPr>
        <w:t>P &amp; O NEDLLOYD, LTD. v. Sanderson Farms, Inc.</w:t>
      </w:r>
      <w:r w:rsidRPr="00727111">
        <w:rPr>
          <w:rFonts w:ascii="Times New Roman" w:hAnsi="Times New Roman" w:cs="Times New Roman"/>
          <w:color w:val="222222"/>
          <w:sz w:val="24"/>
          <w:szCs w:val="24"/>
          <w:shd w:val="clear" w:color="auto" w:fill="FFFFFF"/>
        </w:rPr>
        <w:t>, 462 F.3d 1015 (8th Cir. 2006).</w:t>
      </w:r>
      <w:r w:rsidR="00317CBE" w:rsidRPr="00727111">
        <w:rPr>
          <w:rFonts w:ascii="Times New Roman" w:hAnsi="Times New Roman" w:cs="Times New Roman"/>
          <w:color w:val="006621"/>
          <w:sz w:val="24"/>
          <w:szCs w:val="24"/>
          <w:shd w:val="clear" w:color="auto" w:fill="FFFFFF"/>
        </w:rPr>
        <w:t xml:space="preserve"> </w:t>
      </w:r>
      <w:r w:rsidR="00B81BAB" w:rsidRPr="00FE5ED9">
        <w:rPr>
          <w:rFonts w:ascii="Times New Roman" w:hAnsi="Times New Roman" w:cs="Times New Roman"/>
          <w:sz w:val="24"/>
          <w:szCs w:val="24"/>
          <w:shd w:val="clear" w:color="auto" w:fill="FFFFFF"/>
        </w:rPr>
        <w:t>https://caselaw.findlaw.com/us-8th-circuit/1103126.html</w:t>
      </w:r>
    </w:p>
    <w:p w:rsidR="00D97EF6" w:rsidRPr="00727111" w:rsidRDefault="00F76A18" w:rsidP="00FE5ED9">
      <w:pPr>
        <w:spacing w:line="480" w:lineRule="auto"/>
        <w:ind w:left="720" w:hanging="720"/>
        <w:jc w:val="both"/>
        <w:rPr>
          <w:rFonts w:ascii="Times New Roman" w:hAnsi="Times New Roman" w:cs="Times New Roman"/>
          <w:color w:val="222222"/>
          <w:sz w:val="24"/>
          <w:szCs w:val="24"/>
          <w:shd w:val="clear" w:color="auto" w:fill="FFFFFF"/>
        </w:rPr>
      </w:pPr>
      <w:r w:rsidRPr="00727111">
        <w:rPr>
          <w:rFonts w:ascii="Times New Roman" w:hAnsi="Times New Roman" w:cs="Times New Roman"/>
          <w:i/>
          <w:iCs/>
          <w:color w:val="222222"/>
          <w:sz w:val="24"/>
          <w:szCs w:val="24"/>
          <w:shd w:val="clear" w:color="auto" w:fill="FFFFFF"/>
        </w:rPr>
        <w:t xml:space="preserve">Travelers Indem. Co. v. </w:t>
      </w:r>
      <w:r w:rsidR="00FB36B5">
        <w:rPr>
          <w:rFonts w:ascii="Times New Roman" w:hAnsi="Times New Roman" w:cs="Times New Roman"/>
          <w:i/>
          <w:iCs/>
          <w:color w:val="222222"/>
          <w:sz w:val="24"/>
          <w:szCs w:val="24"/>
          <w:shd w:val="clear" w:color="auto" w:fill="FFFFFF"/>
        </w:rPr>
        <w:t>Maho</w:t>
      </w:r>
      <w:r w:rsidRPr="00727111">
        <w:rPr>
          <w:rFonts w:ascii="Times New Roman" w:hAnsi="Times New Roman" w:cs="Times New Roman"/>
          <w:i/>
          <w:iCs/>
          <w:color w:val="222222"/>
          <w:sz w:val="24"/>
          <w:szCs w:val="24"/>
          <w:shd w:val="clear" w:color="auto" w:fill="FFFFFF"/>
        </w:rPr>
        <w:t xml:space="preserve"> Mach. Tool Corp.</w:t>
      </w:r>
      <w:r w:rsidRPr="00727111">
        <w:rPr>
          <w:rFonts w:ascii="Times New Roman" w:hAnsi="Times New Roman" w:cs="Times New Roman"/>
          <w:color w:val="222222"/>
          <w:sz w:val="24"/>
          <w:szCs w:val="24"/>
          <w:shd w:val="clear" w:color="auto" w:fill="FFFFFF"/>
        </w:rPr>
        <w:t>, 952 F.2d 26 (2d Cir. 1991).</w:t>
      </w:r>
      <w:r w:rsidR="00B81BAB" w:rsidRPr="00B81BAB">
        <w:t xml:space="preserve"> </w:t>
      </w:r>
      <w:r w:rsidR="00B81BAB" w:rsidRPr="00B81BAB">
        <w:rPr>
          <w:rFonts w:ascii="Times New Roman" w:hAnsi="Times New Roman" w:cs="Times New Roman"/>
          <w:color w:val="222222"/>
          <w:sz w:val="24"/>
          <w:szCs w:val="24"/>
          <w:shd w:val="clear" w:color="auto" w:fill="FFFFFF"/>
        </w:rPr>
        <w:t>https://caselaw.findlaw.com/us-10th-circuit/1512206.html</w:t>
      </w:r>
    </w:p>
    <w:p w:rsidR="002C052A" w:rsidRPr="00727111" w:rsidRDefault="002C052A" w:rsidP="006D7F46">
      <w:pPr>
        <w:spacing w:line="480" w:lineRule="auto"/>
        <w:jc w:val="both"/>
        <w:rPr>
          <w:rFonts w:ascii="Times New Roman" w:hAnsi="Times New Roman" w:cs="Times New Roman"/>
          <w:sz w:val="24"/>
          <w:szCs w:val="24"/>
        </w:rPr>
      </w:pPr>
    </w:p>
    <w:p w:rsidR="008C4D65" w:rsidRPr="00727111" w:rsidRDefault="008C4D65" w:rsidP="006D7F46">
      <w:pPr>
        <w:spacing w:line="480" w:lineRule="auto"/>
        <w:jc w:val="both"/>
        <w:rPr>
          <w:rFonts w:ascii="Times New Roman" w:hAnsi="Times New Roman" w:cs="Times New Roman"/>
          <w:sz w:val="24"/>
          <w:szCs w:val="24"/>
        </w:rPr>
      </w:pPr>
    </w:p>
    <w:p w:rsidR="00A47F62" w:rsidRPr="00727111" w:rsidRDefault="00A47F62" w:rsidP="006D7F46">
      <w:pPr>
        <w:spacing w:line="480" w:lineRule="auto"/>
        <w:jc w:val="both"/>
        <w:rPr>
          <w:rFonts w:ascii="Times New Roman" w:hAnsi="Times New Roman" w:cs="Times New Roman"/>
          <w:sz w:val="24"/>
          <w:szCs w:val="24"/>
        </w:rPr>
      </w:pPr>
    </w:p>
    <w:p w:rsidR="00A47F62" w:rsidRPr="00727111" w:rsidRDefault="00A47F62" w:rsidP="006D7F46">
      <w:pPr>
        <w:spacing w:line="480" w:lineRule="auto"/>
        <w:jc w:val="both"/>
        <w:rPr>
          <w:rFonts w:ascii="Times New Roman" w:hAnsi="Times New Roman" w:cs="Times New Roman"/>
          <w:sz w:val="24"/>
          <w:szCs w:val="24"/>
        </w:rPr>
      </w:pPr>
    </w:p>
    <w:p w:rsidR="00A47F62" w:rsidRPr="00727111" w:rsidRDefault="00A47F62" w:rsidP="006D7F46">
      <w:pPr>
        <w:spacing w:line="480" w:lineRule="auto"/>
        <w:jc w:val="both"/>
        <w:rPr>
          <w:rFonts w:ascii="Times New Roman" w:hAnsi="Times New Roman" w:cs="Times New Roman"/>
          <w:sz w:val="24"/>
          <w:szCs w:val="24"/>
        </w:rPr>
      </w:pPr>
    </w:p>
    <w:p w:rsidR="00A47F62" w:rsidRPr="00727111" w:rsidRDefault="00A47F62" w:rsidP="006D7F46">
      <w:pPr>
        <w:spacing w:line="480" w:lineRule="auto"/>
        <w:jc w:val="both"/>
        <w:rPr>
          <w:rFonts w:ascii="Times New Roman" w:hAnsi="Times New Roman" w:cs="Times New Roman"/>
          <w:sz w:val="24"/>
          <w:szCs w:val="24"/>
        </w:rPr>
      </w:pPr>
    </w:p>
    <w:p w:rsidR="00A47F62" w:rsidRPr="00727111" w:rsidRDefault="00A47F62" w:rsidP="006D7F46">
      <w:pPr>
        <w:spacing w:line="480" w:lineRule="auto"/>
        <w:jc w:val="both"/>
        <w:rPr>
          <w:rFonts w:ascii="Times New Roman" w:hAnsi="Times New Roman" w:cs="Times New Roman"/>
          <w:sz w:val="24"/>
          <w:szCs w:val="24"/>
        </w:rPr>
      </w:pPr>
    </w:p>
    <w:p w:rsidR="00A47F62" w:rsidRPr="00727111" w:rsidRDefault="00A47F62" w:rsidP="006D7F46">
      <w:pPr>
        <w:spacing w:line="480" w:lineRule="auto"/>
        <w:jc w:val="both"/>
        <w:rPr>
          <w:rFonts w:ascii="Times New Roman" w:hAnsi="Times New Roman" w:cs="Times New Roman"/>
          <w:sz w:val="24"/>
          <w:szCs w:val="24"/>
        </w:rPr>
      </w:pPr>
    </w:p>
    <w:p w:rsidR="00A17C57" w:rsidRPr="00727111" w:rsidRDefault="00A17C57" w:rsidP="006D7F46">
      <w:pPr>
        <w:spacing w:line="480" w:lineRule="auto"/>
        <w:jc w:val="both"/>
        <w:rPr>
          <w:rFonts w:ascii="Times New Roman" w:hAnsi="Times New Roman" w:cs="Times New Roman"/>
          <w:sz w:val="24"/>
          <w:szCs w:val="24"/>
        </w:rPr>
      </w:pPr>
    </w:p>
    <w:sectPr w:rsidR="00A17C57" w:rsidRPr="0072711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5D83" w:rsidRDefault="004D5D83">
      <w:pPr>
        <w:spacing w:after="0" w:line="240" w:lineRule="auto"/>
      </w:pPr>
      <w:r>
        <w:separator/>
      </w:r>
    </w:p>
  </w:endnote>
  <w:endnote w:type="continuationSeparator" w:id="0">
    <w:p w:rsidR="004D5D83" w:rsidRDefault="004D5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5D83" w:rsidRDefault="004D5D83">
      <w:pPr>
        <w:spacing w:after="0" w:line="240" w:lineRule="auto"/>
      </w:pPr>
      <w:r>
        <w:separator/>
      </w:r>
    </w:p>
  </w:footnote>
  <w:footnote w:type="continuationSeparator" w:id="0">
    <w:p w:rsidR="004D5D83" w:rsidRDefault="004D5D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04702641"/>
      <w:docPartObj>
        <w:docPartGallery w:val="Page Numbers (Top of Page)"/>
        <w:docPartUnique/>
      </w:docPartObj>
    </w:sdtPr>
    <w:sdtEndPr>
      <w:rPr>
        <w:noProof/>
      </w:rPr>
    </w:sdtEndPr>
    <w:sdtContent>
      <w:p w:rsidR="000E6295" w:rsidRPr="000F077D" w:rsidRDefault="00F76A18">
        <w:pPr>
          <w:pStyle w:val="Header"/>
          <w:jc w:val="right"/>
          <w:rPr>
            <w:rFonts w:ascii="Times New Roman" w:hAnsi="Times New Roman" w:cs="Times New Roman"/>
            <w:sz w:val="24"/>
          </w:rPr>
        </w:pPr>
        <w:r w:rsidRPr="000F077D">
          <w:rPr>
            <w:rFonts w:ascii="Times New Roman" w:hAnsi="Times New Roman" w:cs="Times New Roman"/>
            <w:sz w:val="24"/>
          </w:rPr>
          <w:fldChar w:fldCharType="begin"/>
        </w:r>
        <w:r w:rsidRPr="000F077D">
          <w:rPr>
            <w:rFonts w:ascii="Times New Roman" w:hAnsi="Times New Roman" w:cs="Times New Roman"/>
            <w:sz w:val="24"/>
          </w:rPr>
          <w:instrText xml:space="preserve"> PAGE   \* MERGEFORMAT </w:instrText>
        </w:r>
        <w:r w:rsidRPr="000F077D">
          <w:rPr>
            <w:rFonts w:ascii="Times New Roman" w:hAnsi="Times New Roman" w:cs="Times New Roman"/>
            <w:sz w:val="24"/>
          </w:rPr>
          <w:fldChar w:fldCharType="separate"/>
        </w:r>
        <w:r w:rsidR="008D2805">
          <w:rPr>
            <w:rFonts w:ascii="Times New Roman" w:hAnsi="Times New Roman" w:cs="Times New Roman"/>
            <w:noProof/>
            <w:sz w:val="24"/>
          </w:rPr>
          <w:t>1</w:t>
        </w:r>
        <w:r w:rsidRPr="000F077D">
          <w:rPr>
            <w:rFonts w:ascii="Times New Roman" w:hAnsi="Times New Roman" w:cs="Times New Roman"/>
            <w:noProof/>
            <w:sz w:val="24"/>
          </w:rPr>
          <w:fldChar w:fldCharType="end"/>
        </w:r>
      </w:p>
    </w:sdtContent>
  </w:sdt>
  <w:p w:rsidR="000E6295" w:rsidRPr="000F077D" w:rsidRDefault="000E6295">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C62"/>
    <w:rsid w:val="00001939"/>
    <w:rsid w:val="00010080"/>
    <w:rsid w:val="00023266"/>
    <w:rsid w:val="000249C6"/>
    <w:rsid w:val="00031FFB"/>
    <w:rsid w:val="00036F43"/>
    <w:rsid w:val="000440D0"/>
    <w:rsid w:val="00070C37"/>
    <w:rsid w:val="00076870"/>
    <w:rsid w:val="00081AA4"/>
    <w:rsid w:val="000A1461"/>
    <w:rsid w:val="000B6AE8"/>
    <w:rsid w:val="000D423C"/>
    <w:rsid w:val="000D6571"/>
    <w:rsid w:val="000D72A0"/>
    <w:rsid w:val="000E6295"/>
    <w:rsid w:val="000F077D"/>
    <w:rsid w:val="00127A47"/>
    <w:rsid w:val="00130613"/>
    <w:rsid w:val="00141D9F"/>
    <w:rsid w:val="001734A0"/>
    <w:rsid w:val="00195C8A"/>
    <w:rsid w:val="001B06EB"/>
    <w:rsid w:val="001D06C6"/>
    <w:rsid w:val="001D2282"/>
    <w:rsid w:val="001E3FB2"/>
    <w:rsid w:val="001F2F2E"/>
    <w:rsid w:val="00204934"/>
    <w:rsid w:val="002255F4"/>
    <w:rsid w:val="0022710B"/>
    <w:rsid w:val="002307C9"/>
    <w:rsid w:val="002460A9"/>
    <w:rsid w:val="00264C38"/>
    <w:rsid w:val="002653A3"/>
    <w:rsid w:val="00267BB5"/>
    <w:rsid w:val="00272B7C"/>
    <w:rsid w:val="0029203C"/>
    <w:rsid w:val="0029230B"/>
    <w:rsid w:val="002B55C0"/>
    <w:rsid w:val="002B5F2E"/>
    <w:rsid w:val="002C052A"/>
    <w:rsid w:val="002D2FDE"/>
    <w:rsid w:val="002E4290"/>
    <w:rsid w:val="002E5BB4"/>
    <w:rsid w:val="00300D97"/>
    <w:rsid w:val="003164CB"/>
    <w:rsid w:val="00317CBE"/>
    <w:rsid w:val="00325542"/>
    <w:rsid w:val="00343F96"/>
    <w:rsid w:val="003612AA"/>
    <w:rsid w:val="0036454D"/>
    <w:rsid w:val="0038592F"/>
    <w:rsid w:val="003A66BB"/>
    <w:rsid w:val="003B06CE"/>
    <w:rsid w:val="003B17D1"/>
    <w:rsid w:val="003B397A"/>
    <w:rsid w:val="003B6FD2"/>
    <w:rsid w:val="003D4BB7"/>
    <w:rsid w:val="003D5A79"/>
    <w:rsid w:val="003E0A8F"/>
    <w:rsid w:val="00417F0C"/>
    <w:rsid w:val="00421E06"/>
    <w:rsid w:val="00424B9D"/>
    <w:rsid w:val="004648C8"/>
    <w:rsid w:val="00474705"/>
    <w:rsid w:val="00475291"/>
    <w:rsid w:val="00491862"/>
    <w:rsid w:val="004B3831"/>
    <w:rsid w:val="004C11D7"/>
    <w:rsid w:val="004D5D83"/>
    <w:rsid w:val="00513E6F"/>
    <w:rsid w:val="00523B65"/>
    <w:rsid w:val="00533455"/>
    <w:rsid w:val="00534196"/>
    <w:rsid w:val="005369BA"/>
    <w:rsid w:val="005407B7"/>
    <w:rsid w:val="0054229E"/>
    <w:rsid w:val="005467F6"/>
    <w:rsid w:val="005644E0"/>
    <w:rsid w:val="00570D05"/>
    <w:rsid w:val="005A30D3"/>
    <w:rsid w:val="005A4DA9"/>
    <w:rsid w:val="005C526E"/>
    <w:rsid w:val="005D3B63"/>
    <w:rsid w:val="005E789C"/>
    <w:rsid w:val="005F7BCA"/>
    <w:rsid w:val="00612470"/>
    <w:rsid w:val="00613119"/>
    <w:rsid w:val="00624718"/>
    <w:rsid w:val="00630BC4"/>
    <w:rsid w:val="006536CA"/>
    <w:rsid w:val="00654698"/>
    <w:rsid w:val="00663494"/>
    <w:rsid w:val="00677AA1"/>
    <w:rsid w:val="00683967"/>
    <w:rsid w:val="006927FB"/>
    <w:rsid w:val="006933A2"/>
    <w:rsid w:val="006A03ED"/>
    <w:rsid w:val="006C7F15"/>
    <w:rsid w:val="006D7F46"/>
    <w:rsid w:val="00705848"/>
    <w:rsid w:val="00715FBE"/>
    <w:rsid w:val="007229E6"/>
    <w:rsid w:val="00727111"/>
    <w:rsid w:val="007419A0"/>
    <w:rsid w:val="00752BDC"/>
    <w:rsid w:val="007765F2"/>
    <w:rsid w:val="00786566"/>
    <w:rsid w:val="00795704"/>
    <w:rsid w:val="007A0D31"/>
    <w:rsid w:val="007A55DB"/>
    <w:rsid w:val="007B1CCC"/>
    <w:rsid w:val="007C71F6"/>
    <w:rsid w:val="007D5407"/>
    <w:rsid w:val="007D6745"/>
    <w:rsid w:val="007E4D5C"/>
    <w:rsid w:val="008062F8"/>
    <w:rsid w:val="00810705"/>
    <w:rsid w:val="0081507A"/>
    <w:rsid w:val="00816F01"/>
    <w:rsid w:val="00864E28"/>
    <w:rsid w:val="008665EB"/>
    <w:rsid w:val="00872457"/>
    <w:rsid w:val="00876E5B"/>
    <w:rsid w:val="00877590"/>
    <w:rsid w:val="008879D8"/>
    <w:rsid w:val="00890F36"/>
    <w:rsid w:val="008A0AF7"/>
    <w:rsid w:val="008A7F25"/>
    <w:rsid w:val="008C0983"/>
    <w:rsid w:val="008C4D65"/>
    <w:rsid w:val="008D2805"/>
    <w:rsid w:val="00905F0E"/>
    <w:rsid w:val="00937E6E"/>
    <w:rsid w:val="00953513"/>
    <w:rsid w:val="00960389"/>
    <w:rsid w:val="00974161"/>
    <w:rsid w:val="00976BFE"/>
    <w:rsid w:val="009A3B18"/>
    <w:rsid w:val="009B625F"/>
    <w:rsid w:val="009B7354"/>
    <w:rsid w:val="009D7C7D"/>
    <w:rsid w:val="009E0C3D"/>
    <w:rsid w:val="009E5079"/>
    <w:rsid w:val="009F7A7C"/>
    <w:rsid w:val="00A069E1"/>
    <w:rsid w:val="00A17C57"/>
    <w:rsid w:val="00A27DC0"/>
    <w:rsid w:val="00A44DCE"/>
    <w:rsid w:val="00A47F62"/>
    <w:rsid w:val="00A5205C"/>
    <w:rsid w:val="00A626CE"/>
    <w:rsid w:val="00A65FAC"/>
    <w:rsid w:val="00A734A8"/>
    <w:rsid w:val="00AB01A8"/>
    <w:rsid w:val="00AB0351"/>
    <w:rsid w:val="00AB522B"/>
    <w:rsid w:val="00AC6EDB"/>
    <w:rsid w:val="00AF5717"/>
    <w:rsid w:val="00B129E8"/>
    <w:rsid w:val="00B66F6D"/>
    <w:rsid w:val="00B81BAB"/>
    <w:rsid w:val="00BC5ADC"/>
    <w:rsid w:val="00BC7733"/>
    <w:rsid w:val="00BE3BA2"/>
    <w:rsid w:val="00BF227A"/>
    <w:rsid w:val="00C2522B"/>
    <w:rsid w:val="00C33C65"/>
    <w:rsid w:val="00C4052E"/>
    <w:rsid w:val="00CA2D8D"/>
    <w:rsid w:val="00CA3D4C"/>
    <w:rsid w:val="00CC36EB"/>
    <w:rsid w:val="00CD127F"/>
    <w:rsid w:val="00CF2EA1"/>
    <w:rsid w:val="00CF48F1"/>
    <w:rsid w:val="00D0195A"/>
    <w:rsid w:val="00D04B8F"/>
    <w:rsid w:val="00D54FD4"/>
    <w:rsid w:val="00D569B1"/>
    <w:rsid w:val="00D65C20"/>
    <w:rsid w:val="00D738F5"/>
    <w:rsid w:val="00D75925"/>
    <w:rsid w:val="00D90EAE"/>
    <w:rsid w:val="00D91F5D"/>
    <w:rsid w:val="00D97EF6"/>
    <w:rsid w:val="00DA31BC"/>
    <w:rsid w:val="00DC0E57"/>
    <w:rsid w:val="00DC2607"/>
    <w:rsid w:val="00DC71F6"/>
    <w:rsid w:val="00DC720D"/>
    <w:rsid w:val="00DD1C62"/>
    <w:rsid w:val="00DD3648"/>
    <w:rsid w:val="00DE2F54"/>
    <w:rsid w:val="00DF67A4"/>
    <w:rsid w:val="00E03DD5"/>
    <w:rsid w:val="00E10ADA"/>
    <w:rsid w:val="00E1307B"/>
    <w:rsid w:val="00E17C13"/>
    <w:rsid w:val="00E20769"/>
    <w:rsid w:val="00E452D6"/>
    <w:rsid w:val="00E52D1D"/>
    <w:rsid w:val="00E569E3"/>
    <w:rsid w:val="00E758D4"/>
    <w:rsid w:val="00E90BEB"/>
    <w:rsid w:val="00E94646"/>
    <w:rsid w:val="00EB7B85"/>
    <w:rsid w:val="00ED5EB6"/>
    <w:rsid w:val="00EF445F"/>
    <w:rsid w:val="00EF5A20"/>
    <w:rsid w:val="00F0368B"/>
    <w:rsid w:val="00F05427"/>
    <w:rsid w:val="00F12044"/>
    <w:rsid w:val="00F15B03"/>
    <w:rsid w:val="00F20BC9"/>
    <w:rsid w:val="00F21353"/>
    <w:rsid w:val="00F332A0"/>
    <w:rsid w:val="00F3750A"/>
    <w:rsid w:val="00F50086"/>
    <w:rsid w:val="00F56589"/>
    <w:rsid w:val="00F61FE8"/>
    <w:rsid w:val="00F620F0"/>
    <w:rsid w:val="00F7246B"/>
    <w:rsid w:val="00F76A18"/>
    <w:rsid w:val="00F94E6B"/>
    <w:rsid w:val="00FB01A3"/>
    <w:rsid w:val="00FB3029"/>
    <w:rsid w:val="00FB36B5"/>
    <w:rsid w:val="00FC4247"/>
    <w:rsid w:val="00FC5E8C"/>
    <w:rsid w:val="00FE5ED9"/>
    <w:rsid w:val="00FE6DDC"/>
    <w:rsid w:val="00FE7B5D"/>
    <w:rsid w:val="00FF3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60CC7E-559E-4E10-9DBB-6F618AE68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2F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C62"/>
  </w:style>
  <w:style w:type="paragraph" w:styleId="Footer">
    <w:name w:val="footer"/>
    <w:basedOn w:val="Normal"/>
    <w:link w:val="FooterChar"/>
    <w:uiPriority w:val="99"/>
    <w:unhideWhenUsed/>
    <w:rsid w:val="00DD1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C62"/>
  </w:style>
  <w:style w:type="character" w:customStyle="1" w:styleId="t">
    <w:name w:val="t"/>
    <w:basedOn w:val="DefaultParagraphFont"/>
    <w:rsid w:val="00D90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1154</Words>
  <Characters>6579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dc:creator>
  <cp:lastModifiedBy>GEOFF</cp:lastModifiedBy>
  <cp:revision>2</cp:revision>
  <dcterms:created xsi:type="dcterms:W3CDTF">2021-10-06T07:09:00Z</dcterms:created>
  <dcterms:modified xsi:type="dcterms:W3CDTF">2021-10-06T07:09:00Z</dcterms:modified>
</cp:coreProperties>
</file>